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DD3BB" w14:textId="1492E218" w:rsidR="00935582" w:rsidRPr="000E7FD3" w:rsidRDefault="000E7FD3" w:rsidP="000E7FD3">
      <w:pPr>
        <w:ind w:left="-851"/>
        <w:rPr>
          <w:rFonts w:ascii="Arial" w:hAnsi="Arial" w:cs="Arial"/>
          <w:b/>
          <w:bCs/>
          <w:sz w:val="28"/>
          <w:szCs w:val="28"/>
        </w:rPr>
      </w:pPr>
      <w:r w:rsidRPr="000E7FD3">
        <w:rPr>
          <w:rFonts w:ascii="Arial" w:hAnsi="Arial" w:cs="Arial"/>
          <w:b/>
          <w:bCs/>
          <w:sz w:val="28"/>
          <w:szCs w:val="28"/>
        </w:rPr>
        <w:t>Overview</w:t>
      </w:r>
    </w:p>
    <w:tbl>
      <w:tblPr>
        <w:tblStyle w:val="TableGrid"/>
        <w:tblW w:w="10916" w:type="dxa"/>
        <w:tblInd w:w="-856" w:type="dxa"/>
        <w:tblLook w:val="04A0" w:firstRow="1" w:lastRow="0" w:firstColumn="1" w:lastColumn="0" w:noHBand="0" w:noVBand="1"/>
      </w:tblPr>
      <w:tblGrid>
        <w:gridCol w:w="2269"/>
        <w:gridCol w:w="4111"/>
        <w:gridCol w:w="1842"/>
        <w:gridCol w:w="2694"/>
      </w:tblGrid>
      <w:tr w:rsidR="00935582" w14:paraId="7E84DB93" w14:textId="77777777" w:rsidTr="00D17FA6">
        <w:tc>
          <w:tcPr>
            <w:tcW w:w="2269" w:type="dxa"/>
            <w:shd w:val="clear" w:color="auto" w:fill="D9D9D9" w:themeFill="background1" w:themeFillShade="D9"/>
          </w:tcPr>
          <w:p w14:paraId="45D16B5C" w14:textId="77777777" w:rsidR="00935582" w:rsidRPr="00ED3CCB" w:rsidRDefault="00935582" w:rsidP="00935582">
            <w:pPr>
              <w:jc w:val="both"/>
              <w:rPr>
                <w:rFonts w:ascii="Arial" w:hAnsi="Arial" w:cs="Arial"/>
                <w:b/>
                <w:bCs/>
              </w:rPr>
            </w:pPr>
            <w:r w:rsidRPr="00ED3CCB">
              <w:rPr>
                <w:rFonts w:ascii="Arial" w:hAnsi="Arial" w:cs="Arial"/>
                <w:b/>
                <w:bCs/>
              </w:rPr>
              <w:t xml:space="preserve">Programme/ </w:t>
            </w:r>
          </w:p>
          <w:p w14:paraId="441F353D" w14:textId="0E107B72" w:rsidR="00935582" w:rsidRDefault="00935582" w:rsidP="00935582">
            <w:r w:rsidRPr="00ED3CCB">
              <w:rPr>
                <w:rFonts w:ascii="Arial" w:hAnsi="Arial" w:cs="Arial"/>
                <w:b/>
                <w:bCs/>
              </w:rPr>
              <w:t>Activity title</w:t>
            </w:r>
          </w:p>
        </w:tc>
        <w:tc>
          <w:tcPr>
            <w:tcW w:w="8647" w:type="dxa"/>
            <w:gridSpan w:val="3"/>
          </w:tcPr>
          <w:p w14:paraId="295C81C8" w14:textId="77777777" w:rsidR="00935582" w:rsidRPr="000E7FD3" w:rsidRDefault="00935582" w:rsidP="00935582">
            <w:pPr>
              <w:jc w:val="both"/>
              <w:rPr>
                <w:rFonts w:ascii="Arial" w:hAnsi="Arial" w:cs="Arial"/>
                <w:b/>
                <w:bCs/>
              </w:rPr>
            </w:pPr>
            <w:r w:rsidRPr="000E7FD3">
              <w:rPr>
                <w:rFonts w:ascii="Arial" w:hAnsi="Arial" w:cs="Arial"/>
                <w:b/>
                <w:bCs/>
              </w:rPr>
              <w:t>Mindfulness – A short programme to support the practice of mindfulness</w:t>
            </w:r>
          </w:p>
          <w:p w14:paraId="61546A74" w14:textId="77777777" w:rsidR="00935582" w:rsidRDefault="00935582" w:rsidP="00935582"/>
        </w:tc>
      </w:tr>
      <w:tr w:rsidR="00935582" w14:paraId="0E73B6B3" w14:textId="77777777" w:rsidTr="00D17FA6">
        <w:tc>
          <w:tcPr>
            <w:tcW w:w="2269" w:type="dxa"/>
            <w:shd w:val="clear" w:color="auto" w:fill="D9D9D9" w:themeFill="background1" w:themeFillShade="D9"/>
          </w:tcPr>
          <w:p w14:paraId="58E0068F" w14:textId="77777777" w:rsidR="00935582" w:rsidRDefault="00935582" w:rsidP="00935582">
            <w:pPr>
              <w:jc w:val="both"/>
              <w:rPr>
                <w:rFonts w:ascii="Arial" w:hAnsi="Arial" w:cs="Arial"/>
              </w:rPr>
            </w:pPr>
          </w:p>
          <w:p w14:paraId="25689017" w14:textId="77777777" w:rsidR="00935582" w:rsidRDefault="00935582" w:rsidP="00935582">
            <w:pPr>
              <w:jc w:val="both"/>
              <w:rPr>
                <w:rFonts w:ascii="Arial" w:hAnsi="Arial" w:cs="Arial"/>
              </w:rPr>
            </w:pPr>
          </w:p>
          <w:p w14:paraId="376C8AAA" w14:textId="77777777" w:rsidR="00935582" w:rsidRDefault="00935582" w:rsidP="00935582">
            <w:pPr>
              <w:jc w:val="both"/>
              <w:rPr>
                <w:rFonts w:ascii="Arial" w:hAnsi="Arial" w:cs="Arial"/>
              </w:rPr>
            </w:pPr>
          </w:p>
          <w:p w14:paraId="5A105A19" w14:textId="77777777" w:rsidR="00935582" w:rsidRDefault="00935582" w:rsidP="00935582">
            <w:pPr>
              <w:jc w:val="both"/>
              <w:rPr>
                <w:rFonts w:ascii="Arial" w:hAnsi="Arial" w:cs="Arial"/>
              </w:rPr>
            </w:pPr>
          </w:p>
          <w:p w14:paraId="405D4FB7" w14:textId="77777777" w:rsidR="00935582" w:rsidRPr="00ED3CCB" w:rsidRDefault="00935582" w:rsidP="00935582">
            <w:pPr>
              <w:jc w:val="both"/>
              <w:rPr>
                <w:rFonts w:ascii="Arial" w:hAnsi="Arial" w:cs="Arial"/>
                <w:b/>
                <w:bCs/>
              </w:rPr>
            </w:pPr>
            <w:r w:rsidRPr="00ED3CCB">
              <w:rPr>
                <w:rFonts w:ascii="Arial" w:hAnsi="Arial" w:cs="Arial"/>
                <w:b/>
                <w:bCs/>
              </w:rPr>
              <w:t xml:space="preserve">Rationale/ </w:t>
            </w:r>
          </w:p>
          <w:p w14:paraId="49E884C5" w14:textId="56C80921" w:rsidR="00935582" w:rsidRDefault="00935582" w:rsidP="00935582">
            <w:r w:rsidRPr="00ED3CCB">
              <w:rPr>
                <w:rFonts w:ascii="Arial" w:hAnsi="Arial" w:cs="Arial"/>
                <w:b/>
                <w:bCs/>
              </w:rPr>
              <w:t>Purpose</w:t>
            </w:r>
          </w:p>
        </w:tc>
        <w:tc>
          <w:tcPr>
            <w:tcW w:w="8647" w:type="dxa"/>
            <w:gridSpan w:val="3"/>
          </w:tcPr>
          <w:p w14:paraId="5313152C" w14:textId="77777777" w:rsidR="00935582" w:rsidRDefault="00935582" w:rsidP="00935582">
            <w:pPr>
              <w:jc w:val="both"/>
              <w:rPr>
                <w:rFonts w:ascii="Arial" w:hAnsi="Arial" w:cs="Arial"/>
              </w:rPr>
            </w:pPr>
            <w:r>
              <w:rPr>
                <w:rFonts w:ascii="Arial" w:hAnsi="Arial" w:cs="Arial"/>
              </w:rPr>
              <w:t>As our own understanding of how our own mental health impacts our ability to thrive and achieve continues to grow, so too do the avenues and pathways we can see to attend to and look after it.</w:t>
            </w:r>
          </w:p>
          <w:p w14:paraId="1E201F30" w14:textId="77777777" w:rsidR="00935582" w:rsidRDefault="00935582" w:rsidP="00935582">
            <w:pPr>
              <w:jc w:val="both"/>
              <w:rPr>
                <w:rFonts w:ascii="Arial" w:hAnsi="Arial" w:cs="Arial"/>
              </w:rPr>
            </w:pPr>
          </w:p>
          <w:p w14:paraId="515944FC" w14:textId="77777777" w:rsidR="00935582" w:rsidRDefault="00935582" w:rsidP="00935582">
            <w:pPr>
              <w:jc w:val="both"/>
              <w:rPr>
                <w:rFonts w:ascii="Arial" w:hAnsi="Arial" w:cs="Arial"/>
              </w:rPr>
            </w:pPr>
            <w:r>
              <w:rPr>
                <w:rFonts w:ascii="Arial" w:hAnsi="Arial" w:cs="Arial"/>
              </w:rPr>
              <w:t>Mindfulness is but one aspect of attending to our emotional needs and has been recognised as playing a key role to helping assist in positive mental health.</w:t>
            </w:r>
          </w:p>
          <w:p w14:paraId="68B85B80" w14:textId="77777777" w:rsidR="00935582" w:rsidRDefault="00935582" w:rsidP="00935582">
            <w:pPr>
              <w:jc w:val="both"/>
              <w:rPr>
                <w:rFonts w:ascii="Arial" w:hAnsi="Arial" w:cs="Arial"/>
              </w:rPr>
            </w:pPr>
          </w:p>
          <w:p w14:paraId="039B232F" w14:textId="77777777" w:rsidR="00935582" w:rsidRDefault="00935582" w:rsidP="00935582">
            <w:pPr>
              <w:jc w:val="both"/>
              <w:rPr>
                <w:rFonts w:ascii="Arial" w:hAnsi="Arial" w:cs="Arial"/>
              </w:rPr>
            </w:pPr>
            <w:r>
              <w:rPr>
                <w:rFonts w:ascii="Arial" w:hAnsi="Arial" w:cs="Arial"/>
              </w:rPr>
              <w:t>Today, young people are more adept than ever at recognising the constant flux and impact of their own mental health and the need to attend to this. This short programme has been designed to develop key skills in helping attend to this and to compliment a range of activities and other engagement young people will receive in the promotion of positive mental health.</w:t>
            </w:r>
          </w:p>
          <w:p w14:paraId="40761E43" w14:textId="71A161D7" w:rsidR="00935582" w:rsidRDefault="00935582" w:rsidP="00935582">
            <w:r>
              <w:rPr>
                <w:rFonts w:ascii="Arial" w:hAnsi="Arial" w:cs="Arial"/>
              </w:rPr>
              <w:t xml:space="preserve">  </w:t>
            </w:r>
          </w:p>
        </w:tc>
      </w:tr>
      <w:tr w:rsidR="00935582" w14:paraId="586FF5EA" w14:textId="77777777" w:rsidTr="00D17FA6">
        <w:tc>
          <w:tcPr>
            <w:tcW w:w="2269" w:type="dxa"/>
            <w:shd w:val="clear" w:color="auto" w:fill="D9D9D9" w:themeFill="background1" w:themeFillShade="D9"/>
          </w:tcPr>
          <w:p w14:paraId="246857EF" w14:textId="77777777" w:rsidR="00935582" w:rsidRDefault="00935582" w:rsidP="00935582">
            <w:pPr>
              <w:jc w:val="both"/>
              <w:rPr>
                <w:rFonts w:ascii="Arial" w:hAnsi="Arial" w:cs="Arial"/>
              </w:rPr>
            </w:pPr>
          </w:p>
          <w:p w14:paraId="5202254B" w14:textId="77777777" w:rsidR="00935582" w:rsidRDefault="00935582" w:rsidP="00935582">
            <w:pPr>
              <w:jc w:val="both"/>
              <w:rPr>
                <w:rFonts w:ascii="Arial" w:hAnsi="Arial" w:cs="Arial"/>
              </w:rPr>
            </w:pPr>
          </w:p>
          <w:p w14:paraId="0834BA03" w14:textId="375D944D" w:rsidR="00935582" w:rsidRDefault="00935582" w:rsidP="00935582">
            <w:r w:rsidRPr="00ED3CCB">
              <w:rPr>
                <w:rFonts w:ascii="Arial" w:hAnsi="Arial" w:cs="Arial"/>
                <w:b/>
                <w:bCs/>
              </w:rPr>
              <w:t>Aim</w:t>
            </w:r>
          </w:p>
        </w:tc>
        <w:tc>
          <w:tcPr>
            <w:tcW w:w="8647" w:type="dxa"/>
            <w:gridSpan w:val="3"/>
          </w:tcPr>
          <w:p w14:paraId="1C0F1096" w14:textId="77777777" w:rsidR="00935582" w:rsidRDefault="00935582" w:rsidP="00935582">
            <w:pPr>
              <w:jc w:val="both"/>
              <w:rPr>
                <w:rFonts w:ascii="Arial" w:hAnsi="Arial" w:cs="Arial"/>
              </w:rPr>
            </w:pPr>
            <w:r>
              <w:rPr>
                <w:rFonts w:ascii="Arial" w:hAnsi="Arial" w:cs="Arial"/>
              </w:rPr>
              <w:t>The programme aims to develop skills in young people in helping them recognise their own emotional needs and triggers, recognising how these impact on themselves and others. It will equip them with approaches and techniques to use to attend to these needs through ‘Mindfulness’ activities and promote positive mental health and emotional well-being.</w:t>
            </w:r>
          </w:p>
          <w:p w14:paraId="749A2450" w14:textId="08FC1054" w:rsidR="00935582" w:rsidRDefault="00935582" w:rsidP="00935582">
            <w:r>
              <w:rPr>
                <w:rFonts w:ascii="Arial" w:hAnsi="Arial" w:cs="Arial"/>
              </w:rPr>
              <w:t xml:space="preserve"> </w:t>
            </w:r>
          </w:p>
        </w:tc>
      </w:tr>
      <w:tr w:rsidR="00935582" w14:paraId="5D790AB7" w14:textId="77777777" w:rsidTr="00D17FA6">
        <w:tc>
          <w:tcPr>
            <w:tcW w:w="2269" w:type="dxa"/>
            <w:shd w:val="clear" w:color="auto" w:fill="D9D9D9" w:themeFill="background1" w:themeFillShade="D9"/>
          </w:tcPr>
          <w:p w14:paraId="5A39FEBA" w14:textId="277C3B4F" w:rsidR="00935582" w:rsidRPr="000E7FD3" w:rsidRDefault="00935582" w:rsidP="000E7FD3">
            <w:pPr>
              <w:jc w:val="both"/>
              <w:rPr>
                <w:rFonts w:ascii="Arial" w:hAnsi="Arial" w:cs="Arial"/>
                <w:b/>
                <w:bCs/>
              </w:rPr>
            </w:pPr>
            <w:r w:rsidRPr="000E7FD3">
              <w:rPr>
                <w:rFonts w:ascii="Arial" w:hAnsi="Arial" w:cs="Arial"/>
                <w:b/>
                <w:bCs/>
              </w:rPr>
              <w:t>Method</w:t>
            </w:r>
          </w:p>
        </w:tc>
        <w:tc>
          <w:tcPr>
            <w:tcW w:w="4111" w:type="dxa"/>
          </w:tcPr>
          <w:p w14:paraId="789896B9" w14:textId="77777777" w:rsidR="00935582" w:rsidRPr="000E7FD3" w:rsidRDefault="00935582" w:rsidP="000E7FD3">
            <w:pPr>
              <w:jc w:val="both"/>
              <w:rPr>
                <w:rFonts w:ascii="Arial" w:hAnsi="Arial" w:cs="Arial"/>
              </w:rPr>
            </w:pPr>
            <w:r w:rsidRPr="000E7FD3">
              <w:rPr>
                <w:rFonts w:ascii="Arial" w:hAnsi="Arial" w:cs="Arial"/>
              </w:rPr>
              <w:t>Group delivery</w:t>
            </w:r>
          </w:p>
          <w:p w14:paraId="7DEE14E9" w14:textId="14655FD7" w:rsidR="00935582" w:rsidRPr="000E7FD3" w:rsidRDefault="00935582" w:rsidP="000E7FD3">
            <w:pPr>
              <w:jc w:val="both"/>
              <w:rPr>
                <w:rFonts w:ascii="Arial" w:hAnsi="Arial" w:cs="Arial"/>
              </w:rPr>
            </w:pPr>
            <w:r w:rsidRPr="000E7FD3">
              <w:rPr>
                <w:rFonts w:ascii="Arial" w:hAnsi="Arial" w:cs="Arial"/>
              </w:rPr>
              <w:t>Individual/ group outputs</w:t>
            </w:r>
          </w:p>
        </w:tc>
        <w:tc>
          <w:tcPr>
            <w:tcW w:w="1842" w:type="dxa"/>
            <w:shd w:val="clear" w:color="auto" w:fill="D9D9D9" w:themeFill="background1" w:themeFillShade="D9"/>
          </w:tcPr>
          <w:p w14:paraId="25127A8B" w14:textId="77D9BAFF" w:rsidR="00935582" w:rsidRDefault="00935582" w:rsidP="000E7FD3">
            <w:pPr>
              <w:jc w:val="both"/>
              <w:rPr>
                <w:rFonts w:ascii="Arial" w:hAnsi="Arial" w:cs="Arial"/>
                <w:b/>
                <w:bCs/>
              </w:rPr>
            </w:pPr>
            <w:r w:rsidRPr="000E7FD3">
              <w:rPr>
                <w:rFonts w:ascii="Arial" w:hAnsi="Arial" w:cs="Arial"/>
                <w:b/>
                <w:bCs/>
              </w:rPr>
              <w:t xml:space="preserve">Estimated </w:t>
            </w:r>
            <w:r w:rsidR="00D17FA6">
              <w:rPr>
                <w:rFonts w:ascii="Arial" w:hAnsi="Arial" w:cs="Arial"/>
                <w:b/>
                <w:bCs/>
              </w:rPr>
              <w:t>time</w:t>
            </w:r>
          </w:p>
          <w:p w14:paraId="31A52BB3" w14:textId="62BD7E69" w:rsidR="000E7FD3" w:rsidRPr="000E7FD3" w:rsidRDefault="000E7FD3" w:rsidP="000E7FD3">
            <w:pPr>
              <w:jc w:val="both"/>
              <w:rPr>
                <w:rFonts w:ascii="Arial" w:hAnsi="Arial" w:cs="Arial"/>
                <w:b/>
                <w:bCs/>
              </w:rPr>
            </w:pPr>
            <w:r w:rsidRPr="000E7FD3">
              <w:rPr>
                <w:rFonts w:ascii="Arial" w:hAnsi="Arial" w:cs="Arial"/>
                <w:b/>
                <w:bCs/>
                <w:sz w:val="16"/>
                <w:szCs w:val="16"/>
              </w:rPr>
              <w:t>Guide only</w:t>
            </w:r>
          </w:p>
        </w:tc>
        <w:tc>
          <w:tcPr>
            <w:tcW w:w="2694" w:type="dxa"/>
          </w:tcPr>
          <w:p w14:paraId="2601C3F4" w14:textId="77777777" w:rsidR="00935582" w:rsidRPr="000E7FD3" w:rsidRDefault="00935582" w:rsidP="000E7FD3">
            <w:pPr>
              <w:jc w:val="both"/>
              <w:rPr>
                <w:rFonts w:ascii="Arial" w:hAnsi="Arial" w:cs="Arial"/>
              </w:rPr>
            </w:pPr>
            <w:r w:rsidRPr="000E7FD3">
              <w:rPr>
                <w:rFonts w:ascii="Arial" w:hAnsi="Arial" w:cs="Arial"/>
              </w:rPr>
              <w:t>6 Weeks</w:t>
            </w:r>
          </w:p>
          <w:p w14:paraId="288A5203" w14:textId="2CC73A37" w:rsidR="00935582" w:rsidRPr="000E7FD3" w:rsidRDefault="00935582" w:rsidP="000E7FD3">
            <w:pPr>
              <w:jc w:val="both"/>
              <w:rPr>
                <w:rFonts w:ascii="Arial" w:hAnsi="Arial" w:cs="Arial"/>
              </w:rPr>
            </w:pPr>
            <w:r w:rsidRPr="000E7FD3">
              <w:rPr>
                <w:rFonts w:ascii="Arial" w:hAnsi="Arial" w:cs="Arial"/>
              </w:rPr>
              <w:t>40-60 mins per session</w:t>
            </w:r>
          </w:p>
        </w:tc>
      </w:tr>
      <w:tr w:rsidR="000E7FD3" w14:paraId="3DF45D97" w14:textId="77777777" w:rsidTr="00D17FA6">
        <w:tc>
          <w:tcPr>
            <w:tcW w:w="2269" w:type="dxa"/>
            <w:shd w:val="clear" w:color="auto" w:fill="D9D9D9" w:themeFill="background1" w:themeFillShade="D9"/>
          </w:tcPr>
          <w:p w14:paraId="079CEF37" w14:textId="789202C1" w:rsidR="000E7FD3" w:rsidRPr="000E7FD3" w:rsidRDefault="000E7FD3" w:rsidP="000E7FD3">
            <w:pPr>
              <w:jc w:val="both"/>
              <w:rPr>
                <w:rFonts w:ascii="Arial" w:hAnsi="Arial" w:cs="Arial"/>
                <w:b/>
                <w:bCs/>
              </w:rPr>
            </w:pPr>
            <w:r w:rsidRPr="000E7FD3">
              <w:rPr>
                <w:rFonts w:ascii="Arial" w:hAnsi="Arial" w:cs="Arial"/>
                <w:b/>
                <w:bCs/>
              </w:rPr>
              <w:t>Resources</w:t>
            </w:r>
          </w:p>
        </w:tc>
        <w:tc>
          <w:tcPr>
            <w:tcW w:w="8647" w:type="dxa"/>
            <w:gridSpan w:val="3"/>
          </w:tcPr>
          <w:p w14:paraId="5804265A" w14:textId="77777777" w:rsidR="000E7FD3" w:rsidRPr="00D17FA6" w:rsidRDefault="000E7FD3" w:rsidP="00D17FA6">
            <w:pPr>
              <w:pStyle w:val="ListParagraph"/>
              <w:numPr>
                <w:ilvl w:val="0"/>
                <w:numId w:val="4"/>
              </w:numPr>
              <w:jc w:val="both"/>
              <w:rPr>
                <w:rFonts w:ascii="Arial" w:hAnsi="Arial" w:cs="Arial"/>
              </w:rPr>
            </w:pPr>
            <w:r w:rsidRPr="00D17FA6">
              <w:rPr>
                <w:rFonts w:ascii="Arial" w:hAnsi="Arial" w:cs="Arial"/>
              </w:rPr>
              <w:t>Programme guide</w:t>
            </w:r>
          </w:p>
          <w:p w14:paraId="134CC42D" w14:textId="5C780E2E" w:rsidR="000E7FD3" w:rsidRPr="00D17FA6" w:rsidRDefault="000E7FD3" w:rsidP="00D17FA6">
            <w:pPr>
              <w:pStyle w:val="ListParagraph"/>
              <w:numPr>
                <w:ilvl w:val="0"/>
                <w:numId w:val="4"/>
              </w:numPr>
              <w:jc w:val="both"/>
              <w:rPr>
                <w:rFonts w:ascii="Arial" w:hAnsi="Arial" w:cs="Arial"/>
              </w:rPr>
            </w:pPr>
            <w:r w:rsidRPr="00D17FA6">
              <w:rPr>
                <w:rFonts w:ascii="Arial" w:hAnsi="Arial" w:cs="Arial"/>
              </w:rPr>
              <w:t>Pens, pencil, paper, card, paint, and other colouring items</w:t>
            </w:r>
          </w:p>
          <w:p w14:paraId="42561CF0" w14:textId="77777777" w:rsidR="000E7FD3" w:rsidRPr="00D17FA6" w:rsidRDefault="000E7FD3" w:rsidP="00D17FA6">
            <w:pPr>
              <w:pStyle w:val="ListParagraph"/>
              <w:numPr>
                <w:ilvl w:val="0"/>
                <w:numId w:val="4"/>
              </w:numPr>
              <w:jc w:val="both"/>
              <w:rPr>
                <w:rFonts w:ascii="Arial" w:hAnsi="Arial" w:cs="Arial"/>
              </w:rPr>
            </w:pPr>
            <w:r w:rsidRPr="00D17FA6">
              <w:rPr>
                <w:rFonts w:ascii="Arial" w:hAnsi="Arial" w:cs="Arial"/>
              </w:rPr>
              <w:t>Laptop, recording devices</w:t>
            </w:r>
          </w:p>
          <w:p w14:paraId="1AB5BCC3" w14:textId="04C4D7DA" w:rsidR="000E7FD3" w:rsidRDefault="000E7FD3" w:rsidP="00D17FA6">
            <w:pPr>
              <w:pStyle w:val="ListParagraph"/>
              <w:numPr>
                <w:ilvl w:val="0"/>
                <w:numId w:val="4"/>
              </w:numPr>
              <w:jc w:val="both"/>
              <w:rPr>
                <w:rFonts w:ascii="Arial" w:hAnsi="Arial" w:cs="Arial"/>
              </w:rPr>
            </w:pPr>
            <w:r w:rsidRPr="00D17FA6">
              <w:rPr>
                <w:rFonts w:ascii="Arial" w:hAnsi="Arial" w:cs="Arial"/>
              </w:rPr>
              <w:t>Readily available sensory items and other resources as outlined in the guide</w:t>
            </w:r>
          </w:p>
          <w:p w14:paraId="14C0A7DC" w14:textId="4C98BDCA" w:rsidR="00D17FA6" w:rsidRPr="00D17FA6" w:rsidRDefault="00D17FA6" w:rsidP="00D17FA6">
            <w:pPr>
              <w:ind w:left="360"/>
              <w:jc w:val="both"/>
              <w:rPr>
                <w:rFonts w:ascii="Arial" w:hAnsi="Arial" w:cs="Arial"/>
              </w:rPr>
            </w:pPr>
          </w:p>
        </w:tc>
      </w:tr>
      <w:tr w:rsidR="000E7FD3" w14:paraId="6DAFF073" w14:textId="77777777" w:rsidTr="00D17FA6">
        <w:tc>
          <w:tcPr>
            <w:tcW w:w="2269" w:type="dxa"/>
            <w:shd w:val="clear" w:color="auto" w:fill="D9D9D9" w:themeFill="background1" w:themeFillShade="D9"/>
          </w:tcPr>
          <w:p w14:paraId="647E4519" w14:textId="77777777" w:rsidR="000E7FD3" w:rsidRDefault="000E7FD3" w:rsidP="000E7FD3">
            <w:pPr>
              <w:jc w:val="both"/>
              <w:rPr>
                <w:rFonts w:ascii="Arial" w:hAnsi="Arial" w:cs="Arial"/>
              </w:rPr>
            </w:pPr>
          </w:p>
          <w:p w14:paraId="5B2DCBCA" w14:textId="77777777" w:rsidR="000E7FD3" w:rsidRDefault="000E7FD3" w:rsidP="000E7FD3">
            <w:pPr>
              <w:jc w:val="both"/>
              <w:rPr>
                <w:rFonts w:ascii="Arial" w:hAnsi="Arial" w:cs="Arial"/>
              </w:rPr>
            </w:pPr>
          </w:p>
          <w:p w14:paraId="06EFD9F4" w14:textId="77777777" w:rsidR="000E7FD3" w:rsidRDefault="000E7FD3" w:rsidP="000E7FD3">
            <w:pPr>
              <w:jc w:val="both"/>
              <w:rPr>
                <w:rFonts w:ascii="Arial" w:hAnsi="Arial" w:cs="Arial"/>
              </w:rPr>
            </w:pPr>
          </w:p>
          <w:p w14:paraId="3A8929C0" w14:textId="77777777" w:rsidR="000E7FD3" w:rsidRDefault="000E7FD3" w:rsidP="000E7FD3">
            <w:pPr>
              <w:jc w:val="both"/>
              <w:rPr>
                <w:rFonts w:ascii="Arial" w:hAnsi="Arial" w:cs="Arial"/>
              </w:rPr>
            </w:pPr>
          </w:p>
          <w:p w14:paraId="3B1388DC" w14:textId="77777777" w:rsidR="000E7FD3" w:rsidRPr="00ED3CCB" w:rsidRDefault="000E7FD3" w:rsidP="000E7FD3">
            <w:pPr>
              <w:jc w:val="both"/>
              <w:rPr>
                <w:rFonts w:ascii="Arial" w:hAnsi="Arial" w:cs="Arial"/>
                <w:b/>
                <w:bCs/>
              </w:rPr>
            </w:pPr>
            <w:r w:rsidRPr="00ED3CCB">
              <w:rPr>
                <w:rFonts w:ascii="Arial" w:hAnsi="Arial" w:cs="Arial"/>
                <w:b/>
                <w:bCs/>
              </w:rPr>
              <w:t>Outcomes</w:t>
            </w:r>
          </w:p>
          <w:p w14:paraId="62B74C4F" w14:textId="77777777" w:rsidR="000E7FD3" w:rsidRDefault="000E7FD3" w:rsidP="000E7FD3"/>
        </w:tc>
        <w:tc>
          <w:tcPr>
            <w:tcW w:w="8647" w:type="dxa"/>
            <w:gridSpan w:val="3"/>
          </w:tcPr>
          <w:p w14:paraId="77763F27" w14:textId="77777777" w:rsidR="000E7FD3" w:rsidRDefault="000E7FD3" w:rsidP="000E7FD3">
            <w:pPr>
              <w:pStyle w:val="ListParagraph"/>
              <w:numPr>
                <w:ilvl w:val="0"/>
                <w:numId w:val="1"/>
              </w:numPr>
              <w:jc w:val="both"/>
              <w:rPr>
                <w:rFonts w:ascii="Arial" w:hAnsi="Arial" w:cs="Arial"/>
              </w:rPr>
            </w:pPr>
            <w:r w:rsidRPr="00E6493A">
              <w:rPr>
                <w:rFonts w:ascii="Arial" w:hAnsi="Arial" w:cs="Arial"/>
              </w:rPr>
              <w:t>Young people will develop knowledge in understanding and recognising own mental health needs</w:t>
            </w:r>
            <w:r>
              <w:rPr>
                <w:rFonts w:ascii="Arial" w:hAnsi="Arial" w:cs="Arial"/>
              </w:rPr>
              <w:t>.</w:t>
            </w:r>
          </w:p>
          <w:p w14:paraId="0E61B634" w14:textId="77777777" w:rsidR="000E7FD3" w:rsidRDefault="000E7FD3" w:rsidP="000E7FD3">
            <w:pPr>
              <w:pStyle w:val="ListParagraph"/>
              <w:numPr>
                <w:ilvl w:val="0"/>
                <w:numId w:val="1"/>
              </w:numPr>
              <w:jc w:val="both"/>
              <w:rPr>
                <w:rFonts w:ascii="Arial" w:hAnsi="Arial" w:cs="Arial"/>
              </w:rPr>
            </w:pPr>
            <w:r>
              <w:rPr>
                <w:rFonts w:ascii="Arial" w:hAnsi="Arial" w:cs="Arial"/>
              </w:rPr>
              <w:t>Young people can use a range of ‘tools’ to attend to their own mental health and emotional well-being need.</w:t>
            </w:r>
          </w:p>
          <w:p w14:paraId="5597A642" w14:textId="77777777" w:rsidR="000E7FD3" w:rsidRDefault="000E7FD3" w:rsidP="000E7FD3">
            <w:pPr>
              <w:pStyle w:val="ListParagraph"/>
              <w:numPr>
                <w:ilvl w:val="0"/>
                <w:numId w:val="1"/>
              </w:numPr>
              <w:jc w:val="both"/>
              <w:rPr>
                <w:rFonts w:ascii="Arial" w:hAnsi="Arial" w:cs="Arial"/>
              </w:rPr>
            </w:pPr>
            <w:r>
              <w:rPr>
                <w:rFonts w:ascii="Arial" w:hAnsi="Arial" w:cs="Arial"/>
              </w:rPr>
              <w:t>Young people will grow in confidence and ability to discuss and promote positive mental health.</w:t>
            </w:r>
          </w:p>
          <w:p w14:paraId="35D202C0" w14:textId="77777777" w:rsidR="000E7FD3" w:rsidRPr="00ED3CCB" w:rsidRDefault="000E7FD3" w:rsidP="000E7FD3">
            <w:pPr>
              <w:jc w:val="both"/>
              <w:rPr>
                <w:rFonts w:ascii="Arial" w:hAnsi="Arial" w:cs="Arial"/>
                <w:b/>
                <w:bCs/>
              </w:rPr>
            </w:pPr>
            <w:r w:rsidRPr="00ED3CCB">
              <w:rPr>
                <w:rFonts w:ascii="Arial" w:hAnsi="Arial" w:cs="Arial"/>
                <w:b/>
                <w:bCs/>
              </w:rPr>
              <w:t>Scouting</w:t>
            </w:r>
          </w:p>
          <w:p w14:paraId="54C0523F" w14:textId="35F43E3B" w:rsidR="000E7FD3" w:rsidRDefault="000E7FD3" w:rsidP="000E7FD3">
            <w:pPr>
              <w:pStyle w:val="ListParagraph"/>
              <w:numPr>
                <w:ilvl w:val="0"/>
                <w:numId w:val="2"/>
              </w:numPr>
              <w:jc w:val="both"/>
              <w:rPr>
                <w:rFonts w:ascii="Arial" w:hAnsi="Arial" w:cs="Arial"/>
              </w:rPr>
            </w:pPr>
            <w:r>
              <w:rPr>
                <w:rFonts w:ascii="Arial" w:hAnsi="Arial" w:cs="Arial"/>
              </w:rPr>
              <w:t xml:space="preserve">Completion of this activity is linked to a </w:t>
            </w:r>
            <w:r>
              <w:rPr>
                <w:rFonts w:ascii="Arial" w:hAnsi="Arial" w:cs="Arial"/>
              </w:rPr>
              <w:t>stand-alone</w:t>
            </w:r>
            <w:r>
              <w:rPr>
                <w:rFonts w:ascii="Arial" w:hAnsi="Arial" w:cs="Arial"/>
              </w:rPr>
              <w:t xml:space="preserve"> ‘Mindfulness’ badge and/ or can be used as part of a Special interest badge.</w:t>
            </w:r>
          </w:p>
          <w:p w14:paraId="71201433" w14:textId="4507857C" w:rsidR="000E7FD3" w:rsidRDefault="000E7FD3" w:rsidP="000E7FD3">
            <w:pPr>
              <w:pStyle w:val="ListParagraph"/>
              <w:numPr>
                <w:ilvl w:val="0"/>
                <w:numId w:val="2"/>
              </w:numPr>
              <w:jc w:val="both"/>
              <w:rPr>
                <w:rFonts w:ascii="Arial" w:hAnsi="Arial" w:cs="Arial"/>
              </w:rPr>
            </w:pPr>
            <w:r>
              <w:rPr>
                <w:rFonts w:ascii="Arial" w:hAnsi="Arial" w:cs="Arial"/>
              </w:rPr>
              <w:t>This programme will add to the continued development of relationships between Scouter and group and in peer-to-peer relationship development</w:t>
            </w:r>
            <w:r w:rsidR="00D17FA6">
              <w:rPr>
                <w:rFonts w:ascii="Arial" w:hAnsi="Arial" w:cs="Arial"/>
              </w:rPr>
              <w:t>.</w:t>
            </w:r>
          </w:p>
          <w:p w14:paraId="0FA2A566" w14:textId="77777777" w:rsidR="000E7FD3" w:rsidRDefault="000E7FD3" w:rsidP="000E7FD3"/>
        </w:tc>
      </w:tr>
      <w:tr w:rsidR="000E7FD3" w14:paraId="20FB3D78" w14:textId="77777777" w:rsidTr="00D17FA6">
        <w:tc>
          <w:tcPr>
            <w:tcW w:w="2269" w:type="dxa"/>
            <w:shd w:val="clear" w:color="auto" w:fill="D9D9D9" w:themeFill="background1" w:themeFillShade="D9"/>
          </w:tcPr>
          <w:p w14:paraId="66407974" w14:textId="77777777" w:rsidR="000E7FD3" w:rsidRDefault="000E7FD3" w:rsidP="000E7FD3">
            <w:pPr>
              <w:jc w:val="both"/>
              <w:rPr>
                <w:rFonts w:ascii="Arial" w:hAnsi="Arial" w:cs="Arial"/>
              </w:rPr>
            </w:pPr>
          </w:p>
          <w:p w14:paraId="11A8670A" w14:textId="528054F2" w:rsidR="000E7FD3" w:rsidRDefault="000E7FD3" w:rsidP="000E7FD3">
            <w:r w:rsidRPr="00AB0367">
              <w:rPr>
                <w:rFonts w:ascii="Arial" w:hAnsi="Arial" w:cs="Arial"/>
                <w:b/>
                <w:bCs/>
              </w:rPr>
              <w:t>Measuring outcomes</w:t>
            </w:r>
          </w:p>
        </w:tc>
        <w:tc>
          <w:tcPr>
            <w:tcW w:w="8647" w:type="dxa"/>
            <w:gridSpan w:val="3"/>
          </w:tcPr>
          <w:p w14:paraId="2047A0C8" w14:textId="77777777" w:rsidR="000E7FD3" w:rsidRPr="00AB0367" w:rsidRDefault="000E7FD3" w:rsidP="000E7FD3">
            <w:pPr>
              <w:pStyle w:val="ListParagraph"/>
              <w:numPr>
                <w:ilvl w:val="0"/>
                <w:numId w:val="3"/>
              </w:numPr>
              <w:jc w:val="both"/>
              <w:rPr>
                <w:rFonts w:ascii="Arial" w:hAnsi="Arial" w:cs="Arial"/>
              </w:rPr>
            </w:pPr>
            <w:r w:rsidRPr="00AB0367">
              <w:rPr>
                <w:rFonts w:ascii="Arial" w:hAnsi="Arial" w:cs="Arial"/>
              </w:rPr>
              <w:t>A ‘baseline’ is recommended to be completed prior to commencing and on completion of the programme to measure level of understanding and knowledge gained.</w:t>
            </w:r>
          </w:p>
          <w:p w14:paraId="76EFDC77" w14:textId="77777777" w:rsidR="000E7FD3" w:rsidRDefault="000E7FD3" w:rsidP="000E7FD3">
            <w:pPr>
              <w:pStyle w:val="ListParagraph"/>
              <w:numPr>
                <w:ilvl w:val="0"/>
                <w:numId w:val="3"/>
              </w:numPr>
              <w:jc w:val="both"/>
              <w:rPr>
                <w:rFonts w:ascii="Arial" w:hAnsi="Arial" w:cs="Arial"/>
              </w:rPr>
            </w:pPr>
            <w:r w:rsidRPr="00AB0367">
              <w:rPr>
                <w:rFonts w:ascii="Arial" w:hAnsi="Arial" w:cs="Arial"/>
              </w:rPr>
              <w:t>Records of attendance should be kept reporting on engagement</w:t>
            </w:r>
            <w:r>
              <w:rPr>
                <w:rFonts w:ascii="Arial" w:hAnsi="Arial" w:cs="Arial"/>
              </w:rPr>
              <w:t xml:space="preserve">. </w:t>
            </w:r>
          </w:p>
          <w:p w14:paraId="6AE9A9D4" w14:textId="77777777" w:rsidR="000E7FD3" w:rsidRDefault="000E7FD3" w:rsidP="000E7FD3">
            <w:pPr>
              <w:pStyle w:val="ListParagraph"/>
              <w:numPr>
                <w:ilvl w:val="0"/>
                <w:numId w:val="3"/>
              </w:numPr>
              <w:jc w:val="both"/>
              <w:rPr>
                <w:rFonts w:ascii="Arial" w:hAnsi="Arial" w:cs="Arial"/>
              </w:rPr>
            </w:pPr>
            <w:r>
              <w:rPr>
                <w:rFonts w:ascii="Arial" w:hAnsi="Arial" w:cs="Arial"/>
              </w:rPr>
              <w:t>‘Pieces’ of work created will also demonstrate engagement and participative practice.</w:t>
            </w:r>
          </w:p>
          <w:p w14:paraId="212519BC" w14:textId="77777777" w:rsidR="000E7FD3" w:rsidRDefault="000E7FD3" w:rsidP="000E7FD3">
            <w:pPr>
              <w:pStyle w:val="ListParagraph"/>
              <w:numPr>
                <w:ilvl w:val="0"/>
                <w:numId w:val="3"/>
              </w:numPr>
              <w:jc w:val="both"/>
              <w:rPr>
                <w:rFonts w:ascii="Arial" w:hAnsi="Arial" w:cs="Arial"/>
              </w:rPr>
            </w:pPr>
            <w:r>
              <w:rPr>
                <w:rFonts w:ascii="Arial" w:hAnsi="Arial" w:cs="Arial"/>
              </w:rPr>
              <w:t>Badges awarded for completion of the programme.</w:t>
            </w:r>
          </w:p>
          <w:p w14:paraId="6D8C68C6" w14:textId="77777777" w:rsidR="000E7FD3" w:rsidRPr="000E7FD3" w:rsidRDefault="000E7FD3" w:rsidP="000E7FD3">
            <w:pPr>
              <w:pStyle w:val="ListParagraph"/>
              <w:numPr>
                <w:ilvl w:val="0"/>
                <w:numId w:val="3"/>
              </w:numPr>
              <w:rPr>
                <w:rFonts w:ascii="Arial" w:hAnsi="Arial" w:cs="Arial"/>
              </w:rPr>
            </w:pPr>
            <w:r w:rsidRPr="000E7FD3">
              <w:rPr>
                <w:rFonts w:ascii="Arial" w:hAnsi="Arial" w:cs="Arial"/>
              </w:rPr>
              <w:t>Evaluation of the programme as completed following Plan, do, review should provide verbal/ written feedback on the impact the programme held.</w:t>
            </w:r>
          </w:p>
          <w:p w14:paraId="1B4E2C03" w14:textId="20C981FC" w:rsidR="000E7FD3" w:rsidRDefault="000E7FD3" w:rsidP="000E7FD3"/>
        </w:tc>
      </w:tr>
    </w:tbl>
    <w:p w14:paraId="007C5C4A" w14:textId="77777777" w:rsidR="00935582" w:rsidRDefault="00935582"/>
    <w:sectPr w:rsidR="0093558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85620" w14:textId="77777777" w:rsidR="004E10C1" w:rsidRDefault="004E10C1" w:rsidP="0004157B">
      <w:pPr>
        <w:spacing w:after="0" w:line="240" w:lineRule="auto"/>
      </w:pPr>
      <w:r>
        <w:separator/>
      </w:r>
    </w:p>
  </w:endnote>
  <w:endnote w:type="continuationSeparator" w:id="0">
    <w:p w14:paraId="456CA9DB" w14:textId="77777777" w:rsidR="004E10C1" w:rsidRDefault="004E10C1" w:rsidP="0004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35E4" w14:textId="13C2341F" w:rsidR="0004157B" w:rsidRPr="0004157B" w:rsidRDefault="0004157B" w:rsidP="0004157B">
    <w:pPr>
      <w:pStyle w:val="Footer"/>
      <w:jc w:val="center"/>
      <w:rPr>
        <w:b/>
        <w:bCs/>
        <w:sz w:val="18"/>
        <w:szCs w:val="18"/>
      </w:rPr>
    </w:pPr>
    <w:r w:rsidRPr="0004157B">
      <w:rPr>
        <w:b/>
        <w:bCs/>
        <w:noProof/>
        <w:sz w:val="18"/>
        <w:szCs w:val="18"/>
      </w:rPr>
      <w:drawing>
        <wp:anchor distT="0" distB="0" distL="114300" distR="114300" simplePos="0" relativeHeight="251661312" behindDoc="0" locked="0" layoutInCell="1" allowOverlap="1" wp14:anchorId="25F9CF62" wp14:editId="66C5EBAB">
          <wp:simplePos x="0" y="0"/>
          <wp:positionH relativeFrom="column">
            <wp:posOffset>5338445</wp:posOffset>
          </wp:positionH>
          <wp:positionV relativeFrom="paragraph">
            <wp:posOffset>-97155</wp:posOffset>
          </wp:positionV>
          <wp:extent cx="1115400" cy="579755"/>
          <wp:effectExtent l="0" t="0" r="8890" b="0"/>
          <wp:wrapNone/>
          <wp:docPr id="235" name="Picture 23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with low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5400" cy="579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157B">
      <w:rPr>
        <w:b/>
        <w:bCs/>
        <w:sz w:val="18"/>
        <w:szCs w:val="18"/>
      </w:rPr>
      <w:t>Mindfulness- A short programme developed by SFNI Programme Lead Summer 2022</w:t>
    </w:r>
  </w:p>
  <w:p w14:paraId="1C5656D1" w14:textId="6013A305" w:rsidR="0004157B" w:rsidRPr="0004157B" w:rsidRDefault="0004157B" w:rsidP="0004157B">
    <w:pPr>
      <w:pStyle w:val="Footer"/>
      <w:jc w:val="center"/>
      <w:rPr>
        <w:b/>
        <w:bCs/>
        <w:sz w:val="18"/>
        <w:szCs w:val="18"/>
      </w:rPr>
    </w:pPr>
    <w:r w:rsidRPr="0004157B">
      <w:rPr>
        <w:b/>
        <w:bCs/>
        <w:sz w:val="18"/>
        <w:szCs w:val="18"/>
      </w:rPr>
      <w:t>Created with reference from a number of external resources and mental health guides.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1F924" w14:textId="77777777" w:rsidR="004E10C1" w:rsidRDefault="004E10C1" w:rsidP="0004157B">
      <w:pPr>
        <w:spacing w:after="0" w:line="240" w:lineRule="auto"/>
      </w:pPr>
      <w:r>
        <w:separator/>
      </w:r>
    </w:p>
  </w:footnote>
  <w:footnote w:type="continuationSeparator" w:id="0">
    <w:p w14:paraId="7D5A8A8E" w14:textId="77777777" w:rsidR="004E10C1" w:rsidRDefault="004E10C1" w:rsidP="00041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2A20E" w14:textId="7CBDE8B7" w:rsidR="0004157B" w:rsidRDefault="0004157B">
    <w:pPr>
      <w:pStyle w:val="Header"/>
    </w:pPr>
    <w:r>
      <w:rPr>
        <w:noProof/>
      </w:rPr>
      <w:drawing>
        <wp:anchor distT="0" distB="0" distL="114300" distR="114300" simplePos="0" relativeHeight="251659264" behindDoc="0" locked="0" layoutInCell="1" allowOverlap="1" wp14:anchorId="1C95A596" wp14:editId="7E431120">
          <wp:simplePos x="0" y="0"/>
          <wp:positionH relativeFrom="column">
            <wp:posOffset>-632459</wp:posOffset>
          </wp:positionH>
          <wp:positionV relativeFrom="paragraph">
            <wp:posOffset>-213360</wp:posOffset>
          </wp:positionV>
          <wp:extent cx="7048500" cy="61600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0606" cy="61618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F0F97"/>
    <w:multiLevelType w:val="hybridMultilevel"/>
    <w:tmpl w:val="3BB2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DF0A55"/>
    <w:multiLevelType w:val="hybridMultilevel"/>
    <w:tmpl w:val="0EC02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42629C"/>
    <w:multiLevelType w:val="hybridMultilevel"/>
    <w:tmpl w:val="7254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4417D9"/>
    <w:multiLevelType w:val="hybridMultilevel"/>
    <w:tmpl w:val="3D16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6774177">
    <w:abstractNumId w:val="1"/>
  </w:num>
  <w:num w:numId="2" w16cid:durableId="260795338">
    <w:abstractNumId w:val="3"/>
  </w:num>
  <w:num w:numId="3" w16cid:durableId="1475218282">
    <w:abstractNumId w:val="0"/>
  </w:num>
  <w:num w:numId="4" w16cid:durableId="2024240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7B"/>
    <w:rsid w:val="0004157B"/>
    <w:rsid w:val="000E7FD3"/>
    <w:rsid w:val="001802A6"/>
    <w:rsid w:val="004E10C1"/>
    <w:rsid w:val="005F790C"/>
    <w:rsid w:val="00652EF7"/>
    <w:rsid w:val="00935582"/>
    <w:rsid w:val="00AB0367"/>
    <w:rsid w:val="00AC137B"/>
    <w:rsid w:val="00D17FA6"/>
    <w:rsid w:val="00DD32DA"/>
    <w:rsid w:val="00E26D2B"/>
    <w:rsid w:val="00E6493A"/>
    <w:rsid w:val="00ED3CCB"/>
    <w:rsid w:val="00F21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1940"/>
  <w15:chartTrackingRefBased/>
  <w15:docId w15:val="{242BA644-B1FA-453E-94F8-D6F652FE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57B"/>
  </w:style>
  <w:style w:type="paragraph" w:styleId="Footer">
    <w:name w:val="footer"/>
    <w:basedOn w:val="Normal"/>
    <w:link w:val="FooterChar"/>
    <w:uiPriority w:val="99"/>
    <w:unhideWhenUsed/>
    <w:rsid w:val="00041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57B"/>
  </w:style>
  <w:style w:type="table" w:styleId="TableGrid">
    <w:name w:val="Table Grid"/>
    <w:basedOn w:val="TableNormal"/>
    <w:uiPriority w:val="39"/>
    <w:rsid w:val="00041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Launchbury</dc:creator>
  <cp:keywords/>
  <dc:description/>
  <cp:lastModifiedBy>Drew Launchbury</cp:lastModifiedBy>
  <cp:revision>1</cp:revision>
  <dcterms:created xsi:type="dcterms:W3CDTF">2022-09-14T08:20:00Z</dcterms:created>
  <dcterms:modified xsi:type="dcterms:W3CDTF">2022-09-14T09:15:00Z</dcterms:modified>
</cp:coreProperties>
</file>